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E6" w:rsidRPr="001F5DE6" w:rsidRDefault="001F5DE6" w:rsidP="002514B3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201</w:t>
      </w:r>
      <w:r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8</w:t>
      </w:r>
      <w:r w:rsidRPr="001F5DE6">
        <w:rPr>
          <w:rFonts w:ascii="黑体" w:eastAsia="黑体" w:hAnsi="黑体" w:cs="宋体" w:hint="eastAsia"/>
          <w:kern w:val="0"/>
          <w:sz w:val="28"/>
          <w:szCs w:val="28"/>
          <w:shd w:val="clear" w:color="auto" w:fill="FFFFFF"/>
        </w:rPr>
        <w:t>年政府信息公开年度报告内容</w:t>
      </w:r>
    </w:p>
    <w:p w:rsidR="001F5DE6" w:rsidRPr="001F5DE6" w:rsidRDefault="001F5DE6" w:rsidP="002514B3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1F5DE6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1F5DE6" w:rsidRPr="001F5DE6" w:rsidRDefault="001F5DE6" w:rsidP="002514B3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宋体" w:eastAsia="宋体" w:hAnsi="宋体" w:cs="宋体" w:hint="eastAsia"/>
          <w:b/>
          <w:bCs/>
          <w:kern w:val="0"/>
          <w:sz w:val="44"/>
          <w:szCs w:val="44"/>
          <w:shd w:val="clear" w:color="auto" w:fill="FFFFFF"/>
        </w:rPr>
        <w:t>天津市民族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  <w:shd w:val="clear" w:color="auto" w:fill="FFFFFF"/>
        </w:rPr>
        <w:t>和宗教</w:t>
      </w:r>
      <w:r w:rsidRPr="001F5DE6">
        <w:rPr>
          <w:rFonts w:ascii="宋体" w:eastAsia="宋体" w:hAnsi="宋体" w:cs="宋体" w:hint="eastAsia"/>
          <w:b/>
          <w:bCs/>
          <w:kern w:val="0"/>
          <w:sz w:val="44"/>
          <w:szCs w:val="44"/>
          <w:shd w:val="clear" w:color="auto" w:fill="FFFFFF"/>
        </w:rPr>
        <w:t>事务委员会</w:t>
      </w:r>
    </w:p>
    <w:p w:rsidR="001F5DE6" w:rsidRPr="001F5DE6" w:rsidRDefault="001F5DE6" w:rsidP="002514B3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Times New Roman" w:eastAsia="宋体" w:hAnsi="Times New Roman" w:cs="Times New Roman"/>
          <w:b/>
          <w:bCs/>
          <w:kern w:val="0"/>
          <w:sz w:val="44"/>
          <w:szCs w:val="44"/>
          <w:shd w:val="clear" w:color="auto" w:fill="FFFFFF"/>
        </w:rPr>
        <w:t>201</w:t>
      </w:r>
      <w:r>
        <w:rPr>
          <w:rFonts w:ascii="Times New Roman" w:eastAsia="宋体" w:hAnsi="Times New Roman" w:cs="Times New Roman" w:hint="eastAsia"/>
          <w:b/>
          <w:bCs/>
          <w:kern w:val="0"/>
          <w:sz w:val="44"/>
          <w:szCs w:val="44"/>
          <w:shd w:val="clear" w:color="auto" w:fill="FFFFFF"/>
        </w:rPr>
        <w:t>8</w:t>
      </w:r>
      <w:r w:rsidRPr="001F5DE6">
        <w:rPr>
          <w:rFonts w:ascii="宋体" w:eastAsia="宋体" w:hAnsi="宋体" w:cs="宋体" w:hint="eastAsia"/>
          <w:b/>
          <w:bCs/>
          <w:kern w:val="0"/>
          <w:sz w:val="44"/>
          <w:szCs w:val="44"/>
          <w:shd w:val="clear" w:color="auto" w:fill="FFFFFF"/>
        </w:rPr>
        <w:t>年政府信息公开年度报告</w:t>
      </w:r>
    </w:p>
    <w:p w:rsidR="00851AFE" w:rsidRDefault="00851AFE" w:rsidP="00896781">
      <w:pPr>
        <w:widowControl/>
        <w:shd w:val="clear" w:color="auto" w:fill="FFFFFF"/>
        <w:autoSpaceDE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:rsidR="001F5DE6" w:rsidRPr="001F5DE6" w:rsidRDefault="001F5DE6" w:rsidP="002514B3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本年度报告根据《中华人民共和国政府信息公开条例》（国务院令第492号，以下简称《条例》）和《天津市政府信息公开规定》（2008年市人民政府令第3号，以下简称《规定》）编制。本年度报告由概述，主动公开政府信息情况，依申请公开政府信息情况，收费及减免情况，行政复议、行政诉讼情况，政府信息公开工作存在的主要问题及改进情况，政府信息公开年度报告表，</w:t>
      </w:r>
      <w:proofErr w:type="gramStart"/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附注八</w:t>
      </w:r>
      <w:proofErr w:type="gramEnd"/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部分组成。本年度报告中所列数据的统计期限自</w:t>
      </w:r>
      <w:r w:rsidR="002E137D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2018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年1月1日起至201</w:t>
      </w:r>
      <w:r w:rsidR="002E137D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8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年12月31日止。</w:t>
      </w:r>
    </w:p>
    <w:p w:rsidR="00851AFE" w:rsidRPr="00851AFE" w:rsidRDefault="001F5DE6" w:rsidP="002514B3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一、概述</w:t>
      </w:r>
    </w:p>
    <w:p w:rsidR="001F5DE6" w:rsidRDefault="001F5DE6" w:rsidP="002514B3">
      <w:pPr>
        <w:widowControl/>
        <w:shd w:val="clear" w:color="auto" w:fill="FFFFFF"/>
        <w:autoSpaceDE w:val="0"/>
        <w:spacing w:line="360" w:lineRule="auto"/>
        <w:ind w:firstLine="641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201</w:t>
      </w:r>
      <w:r w:rsidR="002E137D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8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年，</w:t>
      </w:r>
      <w:r w:rsidR="0063166D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市民族</w:t>
      </w:r>
      <w:proofErr w:type="gramStart"/>
      <w:r w:rsidR="0063166D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宗教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委</w:t>
      </w:r>
      <w:proofErr w:type="gramEnd"/>
      <w:r w:rsidR="00851AFE"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认真贯彻习近平新时代中国特色社会主义思想</w:t>
      </w:r>
      <w:r w:rsid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和</w:t>
      </w:r>
      <w:r w:rsidR="00851AFE"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党的十九大</w:t>
      </w:r>
      <w:r w:rsid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精神，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紧密围绕</w:t>
      </w:r>
      <w:r w:rsid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民族宗教工作主要任务，按照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《条例》和《规定》</w:t>
      </w:r>
      <w:r w:rsid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要求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，</w:t>
      </w:r>
      <w:r w:rsidR="00851AFE"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坚持以公开为常态、不公开为例外，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积极落实政府信息公开工作要点，</w:t>
      </w:r>
      <w:r w:rsidR="00851AFE"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强化制度机制建设，拓展公开内容的广度和深度，增强公开时效性，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有力保障公众知情权、参与权、表达权和监督权，不断满足人民群众的知情需求</w:t>
      </w:r>
      <w:r w:rsid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，</w:t>
      </w:r>
      <w:r w:rsidR="00851AFE"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提升民族</w:t>
      </w:r>
      <w:r w:rsid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和宗教</w:t>
      </w:r>
      <w:r w:rsidR="00851AFE"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事务治理能力。</w:t>
      </w:r>
    </w:p>
    <w:p w:rsidR="002514B3" w:rsidRDefault="002514B3" w:rsidP="002514B3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（一）加强制度规范。制定《</w:t>
      </w:r>
      <w:r w:rsidRPr="002514B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市民委（市宗教局）“五公开”纳入办文办会工作制度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》，从制度层面推进决策公开、执行公开、管理公开、服务公开、结果公开，加强政策解读、回应社会关切，扩大公众参与。</w:t>
      </w:r>
      <w:r w:rsidR="0059466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制定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《</w:t>
      </w:r>
      <w:r w:rsidR="00594669" w:rsidRPr="0059466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市民委（市宗教局）2018年政务公开工作要点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》，明确</w:t>
      </w:r>
      <w:r w:rsidR="0059466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工作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任务，细化工作要求，推动政务公开工作落地。</w:t>
      </w:r>
    </w:p>
    <w:p w:rsidR="00594669" w:rsidRPr="00594669" w:rsidRDefault="00594669" w:rsidP="00594669">
      <w:pPr>
        <w:widowControl/>
        <w:shd w:val="clear" w:color="auto" w:fill="FFFFFF"/>
        <w:autoSpaceDE w:val="0"/>
        <w:spacing w:line="360" w:lineRule="auto"/>
        <w:jc w:val="center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6EE509C9" wp14:editId="63B54679">
            <wp:extent cx="5274310" cy="31297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B3" w:rsidRDefault="002514B3" w:rsidP="002514B3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（二）加大公开力度。制定《</w:t>
      </w:r>
      <w:r w:rsidR="00594669" w:rsidRPr="0059466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市民委（市宗教局）2018年宣传工作要点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》，及时、准确发布民族</w:t>
      </w:r>
      <w:r w:rsidR="0059466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宗教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工作重要会议、重要活动以及重大政策信息等。</w:t>
      </w:r>
      <w:proofErr w:type="gramStart"/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官方微信</w:t>
      </w:r>
      <w:r w:rsidR="0059466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“天津民宗”</w:t>
      </w:r>
      <w:proofErr w:type="gramEnd"/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全年</w:t>
      </w:r>
      <w:proofErr w:type="gramStart"/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发布微信</w:t>
      </w:r>
      <w:r w:rsidR="0059466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106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期</w:t>
      </w:r>
      <w:proofErr w:type="gramEnd"/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、文章</w:t>
      </w:r>
      <w:r w:rsidR="0059466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326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篇，</w:t>
      </w:r>
      <w:r w:rsidR="0063166D" w:rsidRPr="0063166D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大力宣传习近平新时代中国特色社会主义思想和党的十九大精神</w:t>
      </w:r>
      <w:r w:rsidR="0063166D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，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内容涵盖理论、政策、知识、文化等方面，进一步拓宽了信息传播渠道，提高了信息传播力和政府公信力。按照《政府网站发展指引》</w:t>
      </w:r>
      <w:r w:rsidR="00862BB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及《天</w:t>
      </w:r>
      <w:r w:rsidR="00862BB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津市政府网站管理办法》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有关要求，加强政府信息公开平台建设。</w:t>
      </w:r>
    </w:p>
    <w:p w:rsidR="00862BB6" w:rsidRPr="00862BB6" w:rsidRDefault="00B914D6" w:rsidP="00B914D6">
      <w:pPr>
        <w:widowControl/>
        <w:shd w:val="clear" w:color="auto" w:fill="FFFFFF"/>
        <w:autoSpaceDE w:val="0"/>
        <w:spacing w:line="360" w:lineRule="auto"/>
        <w:jc w:val="center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1C2C7C88" wp14:editId="71B23B1B">
            <wp:extent cx="2714625" cy="4798328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79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D6" w:rsidRDefault="002514B3" w:rsidP="00B914D6">
      <w:pPr>
        <w:widowControl/>
        <w:shd w:val="clear" w:color="auto" w:fill="FFFFFF"/>
        <w:autoSpaceDE w:val="0"/>
        <w:spacing w:line="360" w:lineRule="auto"/>
        <w:ind w:firstLine="645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</w:t>
      </w:r>
      <w:r w:rsidR="00B914D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三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）注重互动交流。</w:t>
      </w:r>
      <w:r w:rsidR="00B914D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在门户网站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通过</w:t>
      </w:r>
      <w:r w:rsidR="00B914D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设置“我要留言”的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方式为公众提供交流互动平台，畅通群众网上意见表达渠道。进一步完善群众意见的收集、处理和反馈机制，及时处理意见建议。</w:t>
      </w:r>
    </w:p>
    <w:p w:rsidR="002514B3" w:rsidRPr="002514B3" w:rsidRDefault="002514B3" w:rsidP="00B914D6">
      <w:pPr>
        <w:widowControl/>
        <w:shd w:val="clear" w:color="auto" w:fill="FFFFFF"/>
        <w:autoSpaceDE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</w:t>
      </w:r>
      <w:r w:rsidR="00B914D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四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）做好保密工作。严格执行《</w:t>
      </w:r>
      <w:r w:rsidR="00B914D6" w:rsidRPr="00B914D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市民委（市宗教局）信息发布保密审查制度</w:t>
      </w:r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》，落实保密审查的原则、程序和工作机制，加强公开前保密审查，切实做到“涉密</w:t>
      </w:r>
      <w:proofErr w:type="gramStart"/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不</w:t>
      </w:r>
      <w:proofErr w:type="gramEnd"/>
      <w:r w:rsidRPr="00851AF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上网，上网不涉密”。</w:t>
      </w:r>
    </w:p>
    <w:p w:rsidR="001F5DE6" w:rsidRPr="001F5DE6" w:rsidRDefault="001F5DE6" w:rsidP="002514B3">
      <w:pPr>
        <w:widowControl/>
        <w:shd w:val="clear" w:color="auto" w:fill="FFFFFF"/>
        <w:autoSpaceDE w:val="0"/>
        <w:spacing w:line="360" w:lineRule="auto"/>
        <w:ind w:firstLine="62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lastRenderedPageBreak/>
        <w:t>二、主动公开政府信息情况</w:t>
      </w:r>
    </w:p>
    <w:p w:rsidR="001F5DE6" w:rsidRPr="001F5DE6" w:rsidRDefault="001F5DE6" w:rsidP="002514B3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民族宗教工作敏感性较强，我委在做好保密审核工作的同时，今年通过政府信息公开网站主动公开政府信息</w:t>
      </w:r>
      <w:r w:rsidR="001D1A1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427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条，其中政府信息公开年度报告1条，民族宗教事务类信息</w:t>
      </w:r>
      <w:r w:rsidR="001D1A17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408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条，</w:t>
      </w:r>
      <w:r w:rsidR="00F1090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行政许可类信息1条，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人事任免类信息</w:t>
      </w:r>
      <w:r w:rsidR="00F1090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7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条，</w:t>
      </w:r>
      <w:r w:rsidR="00F1090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财政报告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类信息</w:t>
      </w:r>
      <w:r w:rsidR="00F1090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4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条，</w:t>
      </w:r>
      <w:r w:rsidR="00F1090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重大建设项目类信息6条，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内容涉及</w:t>
      </w:r>
      <w:r w:rsidR="00F10901"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民族团结进步创建、民族体育、民族教育、放假通知、行政</w:t>
      </w:r>
      <w:r w:rsidR="00F1090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许可事项</w:t>
      </w:r>
      <w:r w:rsidR="00F10901"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、人事任免</w:t>
      </w:r>
      <w:r w:rsidR="00F1090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、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部门预算决算、</w:t>
      </w:r>
      <w:r w:rsidR="00F1090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建设实施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等方面，均按要求于20个工作日内及时向市行政许可服务中心、市档案馆和市图书馆寄送规范纸质文件，方便公众查询纸质文件。</w:t>
      </w:r>
    </w:p>
    <w:p w:rsidR="001F5DE6" w:rsidRPr="001F5DE6" w:rsidRDefault="001F5DE6" w:rsidP="002514B3">
      <w:pPr>
        <w:widowControl/>
        <w:shd w:val="clear" w:color="auto" w:fill="FFFFFF"/>
        <w:autoSpaceDE w:val="0"/>
        <w:spacing w:line="360" w:lineRule="auto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三、依申请公开政府信息情况</w:t>
      </w:r>
    </w:p>
    <w:p w:rsidR="001F5DE6" w:rsidRPr="001F5DE6" w:rsidRDefault="001F5DE6" w:rsidP="002514B3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严格按照《条例》和《规定》妥善处理依申请公开政府信息，本年度收到</w:t>
      </w:r>
      <w:r w:rsidR="00E0254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件通过政府信息公开网提出的政府信息公开申请，收到1件信函依申请公开，均依法依规做好答复。</w:t>
      </w:r>
    </w:p>
    <w:p w:rsidR="001F5DE6" w:rsidRPr="001F5DE6" w:rsidRDefault="001F5DE6" w:rsidP="002514B3">
      <w:pPr>
        <w:widowControl/>
        <w:shd w:val="clear" w:color="auto" w:fill="FFFFFF"/>
        <w:autoSpaceDE w:val="0"/>
        <w:spacing w:line="360" w:lineRule="auto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四、收费及减免情况</w:t>
      </w:r>
    </w:p>
    <w:p w:rsidR="001F5DE6" w:rsidRPr="001F5DE6" w:rsidRDefault="001F5DE6" w:rsidP="002514B3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本着减轻群众负担、便利群众的原则，全年未向申请人收取政府信息公开相关费用。</w:t>
      </w:r>
    </w:p>
    <w:p w:rsidR="001F5DE6" w:rsidRPr="001F5DE6" w:rsidRDefault="001F5DE6" w:rsidP="002514B3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五、行政复议、行政诉讼情况</w:t>
      </w:r>
    </w:p>
    <w:p w:rsidR="001F5DE6" w:rsidRPr="001F5DE6" w:rsidRDefault="001F5DE6" w:rsidP="002514B3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全年未发生涉及政府信息公开行政复议案件和行政诉讼案件。 </w:t>
      </w:r>
    </w:p>
    <w:p w:rsidR="001F5DE6" w:rsidRPr="001F5DE6" w:rsidRDefault="001F5DE6" w:rsidP="002514B3">
      <w:pPr>
        <w:widowControl/>
        <w:shd w:val="clear" w:color="auto" w:fill="FFFFFF"/>
        <w:autoSpaceDE w:val="0"/>
        <w:spacing w:line="360" w:lineRule="auto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六、政府信息公开工作存在的主要问题及改进情况</w:t>
      </w:r>
    </w:p>
    <w:p w:rsidR="001F5DE6" w:rsidRPr="001F5DE6" w:rsidRDefault="001F5DE6" w:rsidP="002514B3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我委政府信息公开工作开展以来，虽然取得一些成绩，但是目前工作中还存在一些问题，主要表现在：主动公开政府信息力度有待进一步加大；</w:t>
      </w:r>
      <w:r w:rsidR="007F27F3" w:rsidRPr="007F27F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政府信息公开的时效性</w:t>
      </w:r>
      <w:r w:rsidR="007F27F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、规范性有待进一步</w:t>
      </w:r>
      <w:r w:rsidR="007F27F3" w:rsidRPr="007F27F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增强</w:t>
      </w:r>
      <w:r w:rsidR="007F27F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；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政策解读、回应公众关切热点和重大舆情工作力度有待进一步提升。下一步，我们将</w:t>
      </w:r>
      <w:r w:rsidR="007F27F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继续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完善规章制度，健全工作机制，加快流转环节，提高发布时效，挖掘工作中产生的对公众有益的政府信息予以公开，</w:t>
      </w:r>
      <w:r w:rsidR="007F27F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积极做好解读回应，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进一步提高政府信息公开工作的效率，努力满足群众获取和利用公共信息资源的需求。</w:t>
      </w:r>
    </w:p>
    <w:p w:rsidR="001F5DE6" w:rsidRPr="001F5DE6" w:rsidRDefault="001F5DE6" w:rsidP="002514B3">
      <w:pPr>
        <w:widowControl/>
        <w:shd w:val="clear" w:color="auto" w:fill="FFFFFF"/>
        <w:spacing w:line="360" w:lineRule="auto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七、政府信息公开情况统计表</w:t>
      </w:r>
    </w:p>
    <w:p w:rsidR="001F5DE6" w:rsidRPr="001F5DE6" w:rsidRDefault="001F5DE6" w:rsidP="002514B3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  <w:shd w:val="clear" w:color="auto" w:fill="FFFFFF"/>
        </w:rPr>
        <w:t>政府信息公开情况统计表</w:t>
      </w:r>
      <w:r w:rsidRPr="001F5DE6">
        <w:rPr>
          <w:rFonts w:ascii="宋体" w:eastAsia="宋体" w:hAnsi="宋体" w:cs="宋体" w:hint="eastAsia"/>
          <w:b/>
          <w:bCs/>
          <w:kern w:val="0"/>
          <w:sz w:val="36"/>
          <w:szCs w:val="36"/>
          <w:shd w:val="clear" w:color="auto" w:fill="FFFFFF"/>
        </w:rPr>
        <w:br/>
      </w:r>
      <w:r w:rsidRPr="001F5DE6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（201</w:t>
      </w:r>
      <w:r w:rsidR="002E137D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8</w:t>
      </w:r>
      <w:r w:rsidRPr="001F5DE6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年度）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4"/>
        <w:gridCol w:w="937"/>
        <w:gridCol w:w="995"/>
      </w:tblGrid>
      <w:tr w:rsidR="001F5DE6" w:rsidRPr="001F5DE6" w:rsidTr="001F5DE6">
        <w:trPr>
          <w:trHeight w:val="559"/>
          <w:jc w:val="center"/>
        </w:trPr>
        <w:tc>
          <w:tcPr>
            <w:tcW w:w="74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统 计 指 标</w:t>
            </w:r>
          </w:p>
        </w:tc>
        <w:tc>
          <w:tcPr>
            <w:tcW w:w="103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单位 </w:t>
            </w:r>
          </w:p>
        </w:tc>
        <w:tc>
          <w:tcPr>
            <w:tcW w:w="108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统计数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一、主动公开情况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（一）主动公开政府信息数</w:t>
            </w: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　　</w:t>
            </w:r>
            <w:proofErr w:type="gramStart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proofErr w:type="gramEnd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（不同渠道和方式公开相同信息计1条）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条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334F2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427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其中：主动公开规范性文件数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条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7F27F3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="00334F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　　　制发规范性文件总数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896781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8967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（二）通过不同渠道和方式公开政府信息的情况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7F27F3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 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1.政府公报公开政府信息数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2.政府网站公开政府信息数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CE0988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427</w:t>
            </w:r>
            <w:bookmarkStart w:id="0" w:name="_GoBack"/>
            <w:bookmarkEnd w:id="0"/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3.政务</w:t>
            </w:r>
            <w:proofErr w:type="gramStart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微博公开</w:t>
            </w:r>
            <w:proofErr w:type="gramEnd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政府信息数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 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　　　　4.</w:t>
            </w:r>
            <w:proofErr w:type="gramStart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政务微信公开</w:t>
            </w:r>
            <w:proofErr w:type="gramEnd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政府信息数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5.其他方式公开政府信息数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trHeight w:val="375"/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二、回应解读情况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0A0A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7F27F3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 </w:t>
            </w:r>
          </w:p>
        </w:tc>
      </w:tr>
      <w:tr w:rsidR="001F5DE6" w:rsidRPr="001F5DE6" w:rsidTr="001F5DE6">
        <w:trPr>
          <w:trHeight w:val="667"/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（一）回应公众关注热点或重大舆情数</w:t>
            </w: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proofErr w:type="gramStart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（不同方式回应同一热点或舆情计1次）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（二）通过不同渠道和方式回应解读的情况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7F27F3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 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1.参加或举办新闻发布会总次数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 其中：主要负责同志参加新闻发布会次数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2.政府网站在线访谈次数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 其中：主要负责同志参加政府网站在线访谈次数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3.政策解读稿件发布数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篇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4.</w:t>
            </w:r>
            <w:proofErr w:type="gramStart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微博微信回应</w:t>
            </w:r>
            <w:proofErr w:type="gramEnd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事件数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5.其他方式回应事件数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trHeight w:val="237"/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三、依申请公开情况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0A0A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（一）收到申请数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E0254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1.当面申请数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2.传真申请数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3.网络申请数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E0254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4.信函申请数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（二）申请</w:t>
            </w:r>
            <w:proofErr w:type="gramStart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办结数</w:t>
            </w:r>
            <w:proofErr w:type="gramEnd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E0254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1.按时</w:t>
            </w:r>
            <w:proofErr w:type="gramStart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办结数</w:t>
            </w:r>
            <w:proofErr w:type="gramEnd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E0254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2.延期</w:t>
            </w:r>
            <w:proofErr w:type="gramStart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办结数</w:t>
            </w:r>
            <w:proofErr w:type="gramEnd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　（三）申请答复数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7F27F3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1.属于已主动公开范围数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7F27F3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2.同意公开答复数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7F27F3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3.同意部分公开答复数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4.不同意公开答复数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 　其中：涉及国家秘密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　　　 涉及商业秘密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　　　 涉及个人隐私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　　　 危及国家安全、公共安全、经济安全和社会稳定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　　　 不是《条例》所指政府信息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trHeight w:val="159"/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　　　 法律法规规定的其他情形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trHeight w:val="159"/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5.不属于本行政机关公开数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7F27F3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6.申请信息不存在数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7.告知</w:t>
            </w:r>
            <w:proofErr w:type="gramStart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更改补充数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8.告知通过其他途径办理数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四、行政复议数量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（一）维持具体行政行为数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（二）被依法纠错数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（三）其他情形数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五、行政诉讼数量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（一）维持具体行政行为或者驳回原告诉讼请求数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（二）被依法纠错数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　（三）其他情形数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六、举报投诉数量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七、依申请公开信息收取的费用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万元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八、机构建设和保障经费情况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7F27F3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 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（一）政府信息公开工作专门机构数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（二）设置政府信息公开查阅点数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（三）从事政府信息公开工作人员数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人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1.专职人员数（不包括政府公报及政府网站工作人员数）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人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2.兼职人员数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人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ind w:left="600" w:hanging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（四）政府信息公开专项经费（不包括用于政府公报编辑管理及政府网站建设维护等方面的经费）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万元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九、政府信息公开会议和培训情况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7F27F3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 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（一）召开政府信息公开工作会议或专题会议数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（二）举办各类培训班数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F5DE6" w:rsidRPr="001F5DE6" w:rsidTr="001F5DE6">
        <w:trPr>
          <w:jc w:val="center"/>
        </w:trPr>
        <w:tc>
          <w:tcPr>
            <w:tcW w:w="74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（三）接受培训人员数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1F5DE6" w:rsidRDefault="001F5DE6" w:rsidP="002514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5D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人次 </w:t>
            </w:r>
          </w:p>
        </w:tc>
        <w:tc>
          <w:tcPr>
            <w:tcW w:w="10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DE6" w:rsidRPr="007F27F3" w:rsidRDefault="001F5DE6" w:rsidP="002514B3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27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</w:tr>
    </w:tbl>
    <w:p w:rsidR="001F5DE6" w:rsidRPr="001F5DE6" w:rsidRDefault="001F5DE6" w:rsidP="002514B3">
      <w:pPr>
        <w:widowControl/>
        <w:shd w:val="clear" w:color="auto" w:fill="FFFFFF"/>
        <w:autoSpaceDE w:val="0"/>
        <w:spacing w:line="360" w:lineRule="auto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八、附注</w:t>
      </w:r>
    </w:p>
    <w:p w:rsidR="001F5DE6" w:rsidRPr="001F5DE6" w:rsidRDefault="001F5DE6" w:rsidP="002514B3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本年度报告的电子版可在天津市政府信息公开系统（http://gk.tj.gov.cn/）下载。如对本年度报告有任何疑问，请与天津市民族</w:t>
      </w:r>
      <w:r w:rsidR="002E137D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和</w:t>
      </w:r>
      <w:r w:rsidR="002E137D"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宗教</w:t>
      </w:r>
      <w:r w:rsidRPr="001F5DE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事务委员会联系（地址：天津市和平区成都道77号，邮编：300050，电话：022-23317332，电子邮箱：tjsmwb@126.com）。</w:t>
      </w:r>
    </w:p>
    <w:p w:rsidR="00AD76FB" w:rsidRPr="00896781" w:rsidRDefault="001F5DE6" w:rsidP="0089678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DE6">
        <w:rPr>
          <w:rFonts w:ascii="宋体" w:eastAsia="宋体" w:hAnsi="宋体" w:cs="宋体"/>
          <w:kern w:val="0"/>
          <w:sz w:val="24"/>
          <w:szCs w:val="24"/>
        </w:rPr>
        <w:t> </w:t>
      </w:r>
    </w:p>
    <w:sectPr w:rsidR="00AD76FB" w:rsidRPr="00896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B4" w:rsidRDefault="004525B4" w:rsidP="001F5DE6">
      <w:r>
        <w:separator/>
      </w:r>
    </w:p>
  </w:endnote>
  <w:endnote w:type="continuationSeparator" w:id="0">
    <w:p w:rsidR="004525B4" w:rsidRDefault="004525B4" w:rsidP="001F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B4" w:rsidRDefault="004525B4" w:rsidP="001F5DE6">
      <w:r>
        <w:separator/>
      </w:r>
    </w:p>
  </w:footnote>
  <w:footnote w:type="continuationSeparator" w:id="0">
    <w:p w:rsidR="004525B4" w:rsidRDefault="004525B4" w:rsidP="001F5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00"/>
    <w:rsid w:val="000125C0"/>
    <w:rsid w:val="0012627D"/>
    <w:rsid w:val="001D1A17"/>
    <w:rsid w:val="001F5DE6"/>
    <w:rsid w:val="002514B3"/>
    <w:rsid w:val="002E137D"/>
    <w:rsid w:val="00334F26"/>
    <w:rsid w:val="004525B4"/>
    <w:rsid w:val="00525655"/>
    <w:rsid w:val="00594669"/>
    <w:rsid w:val="005949B9"/>
    <w:rsid w:val="0063166D"/>
    <w:rsid w:val="0068690B"/>
    <w:rsid w:val="007A67AC"/>
    <w:rsid w:val="007F27F3"/>
    <w:rsid w:val="00851AFE"/>
    <w:rsid w:val="00862BB6"/>
    <w:rsid w:val="00896781"/>
    <w:rsid w:val="008C2FC8"/>
    <w:rsid w:val="00A82400"/>
    <w:rsid w:val="00AD76FB"/>
    <w:rsid w:val="00B914D6"/>
    <w:rsid w:val="00CB1454"/>
    <w:rsid w:val="00CE0988"/>
    <w:rsid w:val="00E02546"/>
    <w:rsid w:val="00E66728"/>
    <w:rsid w:val="00F10901"/>
    <w:rsid w:val="00F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D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1F5D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946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46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D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1F5D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946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46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4961">
              <w:marLeft w:val="0"/>
              <w:marRight w:val="0"/>
              <w:marTop w:val="300"/>
              <w:marBottom w:val="0"/>
              <w:divBdr>
                <w:top w:val="single" w:sz="6" w:space="31" w:color="D9D9D9"/>
                <w:left w:val="single" w:sz="6" w:space="31" w:color="D9D9D9"/>
                <w:bottom w:val="single" w:sz="6" w:space="31" w:color="D9D9D9"/>
                <w:right w:val="single" w:sz="6" w:space="31" w:color="D9D9D9"/>
              </w:divBdr>
              <w:divsChild>
                <w:div w:id="10595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bingxin</dc:creator>
  <cp:keywords/>
  <dc:description/>
  <cp:lastModifiedBy>bingxin</cp:lastModifiedBy>
  <cp:revision>15</cp:revision>
  <cp:lastPrinted>2019-01-17T03:05:00Z</cp:lastPrinted>
  <dcterms:created xsi:type="dcterms:W3CDTF">2019-01-07T09:23:00Z</dcterms:created>
  <dcterms:modified xsi:type="dcterms:W3CDTF">2019-02-13T02:05:00Z</dcterms:modified>
</cp:coreProperties>
</file>